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Justificações Kahoot</w:t>
      </w:r>
    </w:p>
    <w:p w:rsidR="00000000" w:rsidDel="00000000" w:rsidP="00000000" w:rsidRDefault="00000000" w:rsidRPr="00000000" w14:paraId="00000002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 Em que ano se instituiu, por tratado, a Comunidade Económica Europeia?</w:t>
      </w:r>
    </w:p>
    <w:p w:rsidR="00000000" w:rsidDel="00000000" w:rsidP="00000000" w:rsidRDefault="00000000" w:rsidRPr="00000000" w14:paraId="00000004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1945</w:t>
      </w:r>
    </w:p>
    <w:p w:rsidR="00000000" w:rsidDel="00000000" w:rsidP="00000000" w:rsidRDefault="00000000" w:rsidRPr="00000000" w14:paraId="00000006">
      <w:pPr>
        <w:ind w:left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1957</w:t>
      </w:r>
    </w:p>
    <w:p w:rsidR="00000000" w:rsidDel="00000000" w:rsidP="00000000" w:rsidRDefault="00000000" w:rsidRPr="00000000" w14:paraId="00000007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1960</w:t>
      </w:r>
    </w:p>
    <w:p w:rsidR="00000000" w:rsidDel="00000000" w:rsidP="00000000" w:rsidRDefault="00000000" w:rsidRPr="00000000" w14:paraId="00000008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1993</w:t>
      </w:r>
    </w:p>
    <w:p w:rsidR="00000000" w:rsidDel="00000000" w:rsidP="00000000" w:rsidRDefault="00000000" w:rsidRPr="00000000" w14:paraId="00000009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shd w:fill="ffffff" w:val="clear"/>
        <w:spacing w:after="0" w:afterAutospacing="0" w:before="120" w:lineRule="auto"/>
        <w:ind w:left="720" w:hanging="360"/>
        <w:jc w:val="both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Tratado de Roma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é o nome dado a dois tratados: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0" w:beforeAutospacing="0" w:lineRule="auto"/>
        <w:ind w:left="1080" w:hanging="36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Tratado Constitutivo da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Comunidade Económica Europeia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(CEE)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1080" w:hanging="36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Tratado Constitutivo da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Comunidade Europeia da Energia Atômica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(Euratom)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Foram assinados em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25 de março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1957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em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Roma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pela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Alemanha Ocidental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França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Itália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Bélgica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Países Baixos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Luxemburgo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. Entrou em vigor em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 de Janeiro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1958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after="120" w:before="0" w:beforeAutospacing="0" w:lineRule="auto"/>
        <w:ind w:left="720" w:hanging="360"/>
        <w:jc w:val="both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 assinatura deste tratado é o culminar de um processo que surge após a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Segunda Guerra Mundial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que deixou a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Europa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económica e politicamente destruída, e fragilizada face às duas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superpotências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Estados Unidos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União Soviética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2. </w:t>
      </w:r>
      <w:r w:rsidDel="00000000" w:rsidR="00000000" w:rsidRPr="00000000">
        <w:rPr>
          <w:rtl w:val="0"/>
        </w:rPr>
        <w:t xml:space="preserve">Quais os principais órgãos da União Europeia, além do Parlamento Europeu e do Conselho Europeu?</w:t>
      </w:r>
    </w:p>
    <w:p w:rsidR="00000000" w:rsidDel="00000000" w:rsidP="00000000" w:rsidRDefault="00000000" w:rsidRPr="00000000" w14:paraId="00000011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Comissão Europeia - Conselho da União Europeia</w:t>
      </w:r>
    </w:p>
    <w:p w:rsidR="00000000" w:rsidDel="00000000" w:rsidP="00000000" w:rsidRDefault="00000000" w:rsidRPr="00000000" w14:paraId="00000013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Conselho da União Europeia - Senado Europeu</w:t>
      </w:r>
    </w:p>
    <w:p w:rsidR="00000000" w:rsidDel="00000000" w:rsidP="00000000" w:rsidRDefault="00000000" w:rsidRPr="00000000" w14:paraId="00000014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Comissão Europeia - Autoridade Europeia Para a Justiça e Paz</w:t>
      </w:r>
    </w:p>
    <w:p w:rsidR="00000000" w:rsidDel="00000000" w:rsidP="00000000" w:rsidRDefault="00000000" w:rsidRPr="00000000" w14:paraId="00000015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Nenhuma das anteriores</w:t>
      </w:r>
    </w:p>
    <w:p w:rsidR="00000000" w:rsidDel="00000000" w:rsidP="00000000" w:rsidRDefault="00000000" w:rsidRPr="00000000" w14:paraId="00000016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Parlamento Europeu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diretamente eleito, que representa os cidadãos da UE;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Conselho Europeu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constituído pelos chefes de Estado e de Governo dos Estados-Membros da UE;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Conselho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que representa os governos dos Estados-Membros da UE;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Comissão Europeia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que representa os interesses da União no seu conjunto.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que faz a Comissão Europeia?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Propõe novas leis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Gere as políticas europeias e distribui os fundos da UE (órgão executivo)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Zela pelo cumprimento do Direito Europeu (Guardiã dos tratados)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Representa a UE a nível internacional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Como funciona?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3"/>
        </w:numPr>
        <w:spacing w:line="216" w:lineRule="auto"/>
        <w:ind w:left="144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define prioridades estratégicas que permitem aos Comissários delinear objetivos e elaborar o programa de trabalho 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Comissários: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28 no total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de cada Estado-Membro (Português: Carlos Moedas desde 2014)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line="21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semelhança dos ministros de cada Governo nacional, cada um é responsável por uma pasta, como: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Educação, Cultura, Juventude e Desporto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Ambiente, Assuntos Marítimos e Pescas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Ação Climática e Energia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Mercado Único Digital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Investigação, Ciência e Inovação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3"/>
        </w:numPr>
        <w:spacing w:line="21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3. Quantos eurodeputados tem o Parlamento Europeu?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751</w:t>
      </w:r>
    </w:p>
    <w:p w:rsidR="00000000" w:rsidDel="00000000" w:rsidP="00000000" w:rsidRDefault="00000000" w:rsidRPr="00000000" w14:paraId="0000002F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650</w:t>
      </w:r>
    </w:p>
    <w:p w:rsidR="00000000" w:rsidDel="00000000" w:rsidP="00000000" w:rsidRDefault="00000000" w:rsidRPr="00000000" w14:paraId="00000030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451</w:t>
      </w:r>
    </w:p>
    <w:p w:rsidR="00000000" w:rsidDel="00000000" w:rsidP="00000000" w:rsidRDefault="00000000" w:rsidRPr="00000000" w14:paraId="00000031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750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Cada país decide a forma que deverão revestir as eleições, mas deve garantir a igualdade de género e o segredo do escrutínio.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eleições para o Parlamento Europeu processam-se segundo o sistema de representação proporcional.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direito de voto é adquirido aos 18 anos, exceto na Áustria, onde é adquirido aos 16 anos.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mandatos são atribuídos em função da população de cada Estado-Membro. Um pouco mais de um terço dos deputados são mulheres. Os deputados são agrupados não por nacionalidade, mas por afinidade política.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deputados ao Parlamento Europeu repartem o seu tempo entre os seus círculos eleitorais, Estrasburgo - onde se realizam 12 períodos de sessões por ano - e Bruxelas, onde participam nos períodos de sessões adicionais, bem como nas reuniões das comissões e dos grupos políticos.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4. Quantos eurodeputados são eleitos por Portugal?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21</w:t>
      </w:r>
    </w:p>
    <w:p w:rsidR="00000000" w:rsidDel="00000000" w:rsidP="00000000" w:rsidRDefault="00000000" w:rsidRPr="00000000" w14:paraId="0000003C">
      <w:pPr>
        <w:ind w:left="36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15</w:t>
      </w:r>
    </w:p>
    <w:p w:rsidR="00000000" w:rsidDel="00000000" w:rsidP="00000000" w:rsidRDefault="00000000" w:rsidRPr="00000000" w14:paraId="0000003D">
      <w:pPr>
        <w:ind w:left="36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3E">
      <w:pPr>
        <w:ind w:left="360"/>
        <w:jc w:val="both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25</w:t>
      </w:r>
    </w:p>
    <w:p w:rsidR="00000000" w:rsidDel="00000000" w:rsidP="00000000" w:rsidRDefault="00000000" w:rsidRPr="00000000" w14:paraId="0000003F">
      <w:pP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Francisco Assis (PS)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Carlos Coelho (PSD)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José Inácio Faria (Partido da Terra)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José Manuel Fernandes (PSD)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João Ferreira (PCP)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Ana Gomes (PS)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António Marinho e Pinto (Partido Democrático Republicano)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Marisa Matias (BE)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Nuno Melo (CDS)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Cláudia Monteiro de Aguiar (PSD)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João Pimenta Lopes (PCP)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Paulo Rangel (PSD)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Sofia Ribeiro (PSD)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Liliana Rodrigues (PS)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Maria João Rodrigues (PS)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Fernando Ruas (PSD)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Manuel dos Santos (PS)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Ricardo Serrão Santos (PS)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Pedro Silva Pereira (PS)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Miguel Viegas (PCP)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Carlos Zorrinho (PS)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5. Qual a periodicidade das eleições europeias?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ind w:left="1080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4 anos</w:t>
      </w:r>
    </w:p>
    <w:p w:rsidR="00000000" w:rsidDel="00000000" w:rsidP="00000000" w:rsidRDefault="00000000" w:rsidRPr="00000000" w14:paraId="0000005A">
      <w:pPr>
        <w:ind w:left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5 anos</w:t>
      </w:r>
    </w:p>
    <w:p w:rsidR="00000000" w:rsidDel="00000000" w:rsidP="00000000" w:rsidRDefault="00000000" w:rsidRPr="00000000" w14:paraId="0000005B">
      <w:pPr>
        <w:ind w:left="108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3 anos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Nenhuma das opções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1"/>
        </w:numPr>
        <w:spacing w:line="216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cinco em cinco anos, eleitores dos Estados-membro da UE podem fazer parte da política europeia de uma forma ativa através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1"/>
        </w:numPr>
        <w:spacing w:line="216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Todos os Eurodeputados [Membros do Parlamento Europeu] são eleitos diretamente pelos cidadãos dos seus respetivos países.</w:t>
      </w:r>
    </w:p>
    <w:p w:rsidR="00000000" w:rsidDel="00000000" w:rsidP="00000000" w:rsidRDefault="00000000" w:rsidRPr="00000000" w14:paraId="00000060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6. Qual foi o investimento da União Europeia em Portugal em 2017?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A UE investiu 10 milhões</w:t>
      </w:r>
    </w:p>
    <w:p w:rsidR="00000000" w:rsidDel="00000000" w:rsidP="00000000" w:rsidRDefault="00000000" w:rsidRPr="00000000" w14:paraId="00000065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A UE investiu 353 milhões</w:t>
      </w:r>
    </w:p>
    <w:p w:rsidR="00000000" w:rsidDel="00000000" w:rsidP="00000000" w:rsidRDefault="00000000" w:rsidRPr="00000000" w14:paraId="00000066">
      <w:pPr>
        <w:ind w:left="1080" w:hanging="108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A UE investiu 1016 milhões</w:t>
      </w:r>
    </w:p>
    <w:p w:rsidR="00000000" w:rsidDel="00000000" w:rsidP="00000000" w:rsidRDefault="00000000" w:rsidRPr="00000000" w14:paraId="00000067">
      <w:pPr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A UE investiu 3976 milhões</w:t>
      </w:r>
    </w:p>
    <w:p w:rsidR="00000000" w:rsidDel="00000000" w:rsidP="00000000" w:rsidRDefault="00000000" w:rsidRPr="00000000" w14:paraId="00000068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UE financia uma vasta gama de projetos e programas numa série de áreas:</w:t>
        <w:br w:type="textWrapping"/>
        <w:t xml:space="preserve">+ desenvolvimento regional e urbano</w:t>
        <w:br w:type="textWrapping"/>
        <w:t xml:space="preserve">+ emprego e a inclusão social</w:t>
        <w:br w:type="textWrapping"/>
        <w:t xml:space="preserve">+ agricultura e o desenvolvimento rural</w:t>
        <w:br w:type="textWrapping"/>
        <w:t xml:space="preserve">+ políticas marítima e das pescas</w:t>
        <w:br w:type="textWrapping"/>
        <w:t xml:space="preserve">+ investigação e a inovação</w:t>
        <w:br w:type="textWrapping"/>
        <w:t xml:space="preserve">+ ajuda humanitária</w:t>
      </w:r>
    </w:p>
    <w:p w:rsidR="00000000" w:rsidDel="00000000" w:rsidP="00000000" w:rsidRDefault="00000000" w:rsidRPr="00000000" w14:paraId="0000006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financiamento é gerido de acordo com normas estritas a fim de permitir um controlo rigoroso da utilização das verbas e garantir que as mesmos são gastas de forma transparente e responsável.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Mais de 76 % do orçamento europeu é gerido em parceria com as autoridades regionais e nacionais através de um sistema de «gestão partilhada», sendo canalizado principalmente através de cinco grandes fundos - os fundos estruturais e de investimento. Em conjunto, estes contribuem para a execução da estratégia Europa 2020. </w:t>
        <w:br w:type="textWrapping"/>
        <w:br w:type="textWrapping"/>
        <w:t xml:space="preserve">+ Fundo Europeu de Desenvolvimento Regional (FEDER) – desenvolvimento regional e urbano</w:t>
        <w:br w:type="textWrapping"/>
        <w:t xml:space="preserve">+ Fundo Social Europeu (FSE) – inclusão social e boa governação</w:t>
        <w:br w:type="textWrapping"/>
        <w:t xml:space="preserve">+ Fundo de Coesão (FC) – convergência económica das regiões menos desenvolvidas</w:t>
        <w:br w:type="textWrapping"/>
        <w:t xml:space="preserve">+ Fundo Europeu Agrícola de Desenvolvimento Rural (FEADER) </w:t>
        <w:br w:type="textWrapping"/>
        <w:t xml:space="preserve">+ Fundo Europeu dos Assuntos Marítimos e das Pescas (FEAMP) </w:t>
        <w:br w:type="textWrapping"/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Outros fundos são geridos diretamente pela UE, que os atribui, nomeadamente, sob a forma de:</w:t>
        <w:br w:type="textWrapping"/>
        <w:t xml:space="preserve">+ subvenções para projetos específicos relacionados com políticas europeias, geralmente na sequência da publicação de «convites à apresentação de propostas». O financiamento provém da UE e de outras fontes.</w:t>
        <w:br w:type="textWrapping"/>
        <w:t xml:space="preserve">+ contratos celebrados pela UE com vista à aquisição de obras, bens e serviços necessários ao seu funcionamento – por exemplo, estudos, ações de formação, organização de conferências, equipamento informático. Os contratos são adjudicados através de concurso público.</w:t>
      </w:r>
    </w:p>
    <w:p w:rsidR="00000000" w:rsidDel="00000000" w:rsidP="00000000" w:rsidRDefault="00000000" w:rsidRPr="00000000" w14:paraId="0000006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7. Qual a contribuição de Portugal para o orçamento da União Europeia em 2017?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ind w:left="360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Portugal contribuiu com 2100 milhões</w:t>
      </w:r>
    </w:p>
    <w:p w:rsidR="00000000" w:rsidDel="00000000" w:rsidP="00000000" w:rsidRDefault="00000000" w:rsidRPr="00000000" w14:paraId="00000072">
      <w:pPr>
        <w:ind w:left="36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Portugal não contribui por não ser um dos 10 países mais ricos da UE</w:t>
      </w:r>
    </w:p>
    <w:p w:rsidR="00000000" w:rsidDel="00000000" w:rsidP="00000000" w:rsidRDefault="00000000" w:rsidRPr="00000000" w14:paraId="00000073">
      <w:pPr>
        <w:ind w:left="36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Portugal contribuiu com 4100 milhões</w:t>
      </w:r>
    </w:p>
    <w:p w:rsidR="00000000" w:rsidDel="00000000" w:rsidP="00000000" w:rsidRDefault="00000000" w:rsidRPr="00000000" w14:paraId="00000074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Portugal contribuiu com 1375 milhões</w:t>
      </w:r>
    </w:p>
    <w:p w:rsidR="00000000" w:rsidDel="00000000" w:rsidP="00000000" w:rsidRDefault="00000000" w:rsidRPr="00000000" w14:paraId="00000075">
      <w:pPr>
        <w:ind w:left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Muito menos do que o montante que recebe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O orçamento da UE é em grande medida financiado pelos «recursos próprios», provenientes de três fontes: primeira – direitos alfandegários sobre as importações provenientes do exterior da UE e quotizações sobre o açúcar; segunda – uma pequena parte do imposto sobre o valor acrescentado (IVA) cobrado na UE;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terceira – contribuições de cada Estado-Membro em função da proporção do seu rendimento nacional bruto (RNB) no RNB da UE, o que constitui a maior fonte de receitas para o orçamento da UE (74 % em 2013).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8. Quantas línguas oficiais tem a União Europeia?</w:t>
      </w:r>
    </w:p>
    <w:p w:rsidR="00000000" w:rsidDel="00000000" w:rsidP="00000000" w:rsidRDefault="00000000" w:rsidRPr="00000000" w14:paraId="0000007A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07C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9</w:t>
      </w:r>
    </w:p>
    <w:p w:rsidR="00000000" w:rsidDel="00000000" w:rsidP="00000000" w:rsidRDefault="00000000" w:rsidRPr="00000000" w14:paraId="0000007D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15</w:t>
      </w:r>
    </w:p>
    <w:p w:rsidR="00000000" w:rsidDel="00000000" w:rsidP="00000000" w:rsidRDefault="00000000" w:rsidRPr="00000000" w14:paraId="0000007E">
      <w:pPr>
        <w:ind w:left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24</w:t>
      </w:r>
    </w:p>
    <w:p w:rsidR="00000000" w:rsidDel="00000000" w:rsidP="00000000" w:rsidRDefault="00000000" w:rsidRPr="00000000" w14:paraId="0000007F">
      <w:pPr>
        <w:pStyle w:val="Heading3"/>
        <w:keepNext w:val="0"/>
        <w:keepLines w:val="0"/>
        <w:numPr>
          <w:ilvl w:val="0"/>
          <w:numId w:val="2"/>
        </w:numPr>
        <w:pBdr>
          <w:top w:color="auto" w:space="7" w:sz="0" w:val="none"/>
          <w:left w:color="auto" w:space="7" w:sz="0" w:val="none"/>
          <w:bottom w:color="auto" w:space="5" w:sz="0" w:val="none"/>
          <w:right w:color="auto" w:space="30" w:sz="0" w:val="none"/>
        </w:pBdr>
        <w:spacing w:after="0" w:before="40" w:line="335.99999999999994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bookmarkStart w:colFirst="0" w:colLast="0" w:name="_nys0kslzmsll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Alemão; Búlgaro; Checo; Croata; Dinamarquês; Eslovaco; Esloveno, Espanhol; Estónio; Finlandês; Francês; Grego; Húngaro; Inglês; Irlandês; Italiano; Letão; Lituano; Maltês; Neerlandês; Polaco; Português; Romeno; Sueco.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9. Qual a única instituição europeia eleita diretamente pelos cidadãos?</w:t>
      </w:r>
    </w:p>
    <w:p w:rsidR="00000000" w:rsidDel="00000000" w:rsidP="00000000" w:rsidRDefault="00000000" w:rsidRPr="00000000" w14:paraId="00000081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ind w:left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Parlamento Europeu</w:t>
      </w:r>
    </w:p>
    <w:p w:rsidR="00000000" w:rsidDel="00000000" w:rsidP="00000000" w:rsidRDefault="00000000" w:rsidRPr="00000000" w14:paraId="00000083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b)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highlight w:val="white"/>
          <w:rtl w:val="0"/>
        </w:rPr>
        <w:t xml:space="preserve">Comissão Europeia</w:t>
      </w:r>
    </w:p>
    <w:p w:rsidR="00000000" w:rsidDel="00000000" w:rsidP="00000000" w:rsidRDefault="00000000" w:rsidRPr="00000000" w14:paraId="00000084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color w:val="222222"/>
          <w:highlight w:val="white"/>
          <w:rtl w:val="0"/>
        </w:rPr>
        <w:t xml:space="preserve">Conselho Europeu</w:t>
      </w:r>
    </w:p>
    <w:p w:rsidR="00000000" w:rsidDel="00000000" w:rsidP="00000000" w:rsidRDefault="00000000" w:rsidRPr="00000000" w14:paraId="00000085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222222"/>
          <w:highlight w:val="white"/>
          <w:rtl w:val="0"/>
        </w:rPr>
        <w:t xml:space="preserve">Senado dos Representantes</w:t>
      </w:r>
    </w:p>
    <w:p w:rsidR="00000000" w:rsidDel="00000000" w:rsidP="00000000" w:rsidRDefault="00000000" w:rsidRPr="00000000" w14:paraId="00000086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5"/>
        </w:numPr>
        <w:spacing w:line="21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Parlamento Europeu é composto por 751 membros (MEPs) eleitos diretamente nos 28 Estados-Membro da União Europeia, por mandatos de cinco anos. 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5"/>
        </w:numPr>
        <w:spacing w:line="21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Defende os interesses dos cidadãos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5"/>
        </w:numPr>
        <w:spacing w:line="21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 número de deputados de cada país é sensivelmente proporcional à sua população.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5"/>
        </w:numPr>
        <w:spacing w:line="21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Maioria do trabalho é feito em Bruxelas, mas está também no Luxemburgo e em Estrasburgo.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5"/>
        </w:numPr>
        <w:spacing w:line="21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“Parlamento” atualmente em funções, a nação com mais deputados é a Alemanha, com 96, e os grupos mais pequenos, com 6 deputados, são do Chipre, da Estónia, do Luxemburgo e de Malta.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10. Por quantos países é composta a União Europeia?</w:t>
      </w:r>
    </w:p>
    <w:p w:rsidR="00000000" w:rsidDel="00000000" w:rsidP="00000000" w:rsidRDefault="00000000" w:rsidRPr="00000000" w14:paraId="0000008E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17</w:t>
      </w:r>
    </w:p>
    <w:p w:rsidR="00000000" w:rsidDel="00000000" w:rsidP="00000000" w:rsidRDefault="00000000" w:rsidRPr="00000000" w14:paraId="00000090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18</w:t>
      </w:r>
    </w:p>
    <w:p w:rsidR="00000000" w:rsidDel="00000000" w:rsidP="00000000" w:rsidRDefault="00000000" w:rsidRPr="00000000" w14:paraId="00000091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27</w:t>
      </w:r>
    </w:p>
    <w:p w:rsidR="00000000" w:rsidDel="00000000" w:rsidP="00000000" w:rsidRDefault="00000000" w:rsidRPr="00000000" w14:paraId="00000092">
      <w:pPr>
        <w:ind w:left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28</w:t>
      </w:r>
    </w:p>
    <w:p w:rsidR="00000000" w:rsidDel="00000000" w:rsidP="00000000" w:rsidRDefault="00000000" w:rsidRPr="00000000" w14:paraId="00000093">
      <w:pPr>
        <w:ind w:left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Alemanha; Áustria; Bélgica; Bulgária; Chipre; Croácia; Dinamarca; Eslováquia; Eslovénia; Espanha; Estónia; Finlândia; França; Grécia; Hungria; Irlanda; Itália; Letónia; Lituânia; Luxemburgo; Malta; Países Baixos; Polónia; Portugal; Reino Unido; República Checa; Roménia; Suécia.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11. Qual é a população total da União Europeia aproximadamente?</w:t>
      </w:r>
    </w:p>
    <w:p w:rsidR="00000000" w:rsidDel="00000000" w:rsidP="00000000" w:rsidRDefault="00000000" w:rsidRPr="00000000" w14:paraId="00000097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350 milhões</w:t>
      </w:r>
    </w:p>
    <w:p w:rsidR="00000000" w:rsidDel="00000000" w:rsidP="00000000" w:rsidRDefault="00000000" w:rsidRPr="00000000" w14:paraId="00000099">
      <w:pPr>
        <w:ind w:left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500 milhões</w:t>
      </w:r>
    </w:p>
    <w:p w:rsidR="00000000" w:rsidDel="00000000" w:rsidP="00000000" w:rsidRDefault="00000000" w:rsidRPr="00000000" w14:paraId="0000009A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620 milhões</w:t>
      </w:r>
    </w:p>
    <w:p w:rsidR="00000000" w:rsidDel="00000000" w:rsidP="00000000" w:rsidRDefault="00000000" w:rsidRPr="00000000" w14:paraId="0000009B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700 milhões</w:t>
      </w:r>
    </w:p>
    <w:p w:rsidR="00000000" w:rsidDel="00000000" w:rsidP="00000000" w:rsidRDefault="00000000" w:rsidRPr="00000000" w14:paraId="0000009C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12. Em que ano é que Portugal se juntou à União Europeia?</w:t>
      </w:r>
    </w:p>
    <w:p w:rsidR="00000000" w:rsidDel="00000000" w:rsidP="00000000" w:rsidRDefault="00000000" w:rsidRPr="00000000" w14:paraId="000000A1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ind w:left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1986</w:t>
      </w:r>
    </w:p>
    <w:p w:rsidR="00000000" w:rsidDel="00000000" w:rsidP="00000000" w:rsidRDefault="00000000" w:rsidRPr="00000000" w14:paraId="000000A3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1987</w:t>
      </w:r>
    </w:p>
    <w:p w:rsidR="00000000" w:rsidDel="00000000" w:rsidP="00000000" w:rsidRDefault="00000000" w:rsidRPr="00000000" w14:paraId="000000A4">
      <w:pPr>
        <w:ind w:left="36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1996</w:t>
      </w:r>
    </w:p>
    <w:p w:rsidR="00000000" w:rsidDel="00000000" w:rsidP="00000000" w:rsidRDefault="00000000" w:rsidRPr="00000000" w14:paraId="000000A5">
      <w:pPr>
        <w:ind w:left="360"/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d)</w:t>
      </w:r>
      <w:r w:rsidDel="00000000" w:rsidR="00000000" w:rsidRPr="00000000">
        <w:rPr>
          <w:color w:val="222222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1997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